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u w:val="single"/>
        </w:rPr>
        <w:t>TERMO DE REFERÊNCIA – LEI 14.133/21  de 01 de abril de 2021</w:t>
      </w:r>
    </w:p>
    <w:p>
      <w:pPr>
        <w:pStyle w:val="Normal"/>
        <w:spacing w:lineRule="auto" w:line="276" w:before="57" w:after="57"/>
        <w:ind w:hanging="0" w:lef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>DISPENSA ELETRÔNICA – AQUISIÇÃO DE</w:t>
      </w:r>
      <w:r>
        <w:rPr>
          <w:rFonts w:ascii="Verdana" w:hAnsi="Verdana"/>
          <w:b/>
          <w:bCs/>
          <w:iCs/>
          <w:color w:val="000000"/>
          <w:sz w:val="20"/>
          <w:szCs w:val="20"/>
          <w:u w:val="none"/>
        </w:rPr>
        <w:t xml:space="preserve"> ÓLEO LUBRIFICANTE PARA MOTOCICLETA 4 TEMPOS 20W-50</w:t>
      </w:r>
    </w:p>
    <w:p>
      <w:pPr>
        <w:pStyle w:val="Normal"/>
        <w:spacing w:lineRule="auto" w:line="276" w:before="57" w:after="57"/>
        <w:ind w:hanging="0" w:lef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006698/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>2024 de 09 de setembro de 2024 (</w:t>
      </w:r>
      <w:r>
        <w:rPr>
          <w:rFonts w:eastAsia="Times New Roman" w:cs="Arial" w:ascii="Verdana" w:hAnsi="Verdana"/>
          <w:b/>
          <w:bCs/>
          <w:iCs/>
          <w:color w:val="000000"/>
          <w:sz w:val="20"/>
          <w:szCs w:val="20"/>
        </w:rPr>
        <w:t xml:space="preserve">SECRETARIA MUNICIPAL DE 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SERVIÇOS URBANOS E TRANSPORTE</w:t>
      </w:r>
      <w:r>
        <w:rPr>
          <w:rFonts w:cs="Arial" w:ascii="Verdana" w:hAnsi="Verdana"/>
          <w:b/>
          <w:bCs/>
          <w:iCs/>
          <w:color w:val="000000"/>
          <w:sz w:val="20"/>
          <w:szCs w:val="20"/>
        </w:rPr>
        <w:t>)</w:t>
      </w:r>
    </w:p>
    <w:p>
      <w:pPr>
        <w:pStyle w:val="Normal"/>
        <w:spacing w:lineRule="auto" w:line="276" w:before="57" w:after="57"/>
        <w:ind w:hanging="0" w:left="0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1. DAS CONDIÇÕES GERAIS DA CONTRATAÇÃO 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1.1. Aquisição </w:t>
      </w:r>
      <w:r>
        <w:rPr>
          <w:rFonts w:eastAsia="Times New Roman" w:cs="Times New Roman" w:ascii="Verdana" w:hAnsi="Verdana"/>
          <w:iCs/>
          <w:color w:val="auto"/>
          <w:kern w:val="0"/>
          <w:sz w:val="20"/>
          <w:szCs w:val="20"/>
          <w:lang w:val="pt-BR" w:eastAsia="pt-BR" w:bidi="ar-SA"/>
        </w:rPr>
        <w:t xml:space="preserve">de </w:t>
      </w:r>
      <w:r>
        <w:rPr>
          <w:rFonts w:eastAsia="Times New Roman" w:cs="Times New Roman" w:ascii="Verdana" w:hAnsi="Verdana"/>
          <w:b w:val="false"/>
          <w:bCs/>
          <w:i w:val="false"/>
          <w:iCs w:val="false"/>
          <w:color w:val="auto"/>
          <w:kern w:val="0"/>
          <w:sz w:val="20"/>
          <w:szCs w:val="20"/>
          <w:lang w:val="pt-BR" w:eastAsia="pt-BR" w:bidi="ar-SA"/>
        </w:rPr>
        <w:t>óleo lubrificante para motocicleta 4 tempos, 20W-50</w:t>
      </w:r>
      <w:r>
        <w:rPr>
          <w:rFonts w:eastAsia="Times New Roman" w:cs="Times New Roman" w:ascii="Verdana" w:hAnsi="Verdana"/>
          <w:iCs/>
          <w:sz w:val="20"/>
          <w:szCs w:val="20"/>
        </w:rPr>
        <w:t>, para uso nas motocicletas do Departamento de Limpeza Pública, deste município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, </w:t>
      </w:r>
      <w:r>
        <w:rPr>
          <w:rFonts w:ascii="Verdana" w:hAnsi="Verdana"/>
          <w:iCs/>
          <w:sz w:val="20"/>
          <w:szCs w:val="20"/>
        </w:rPr>
        <w:t>nos termos da tabela abaixo, conforme condições e exigências estabelecidas neste instrumento e no ET.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tbl>
      <w:tblPr>
        <w:tblW w:w="9300" w:type="dxa"/>
        <w:jc w:val="left"/>
        <w:tblInd w:w="151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18"/>
        <w:gridCol w:w="3694"/>
        <w:gridCol w:w="787"/>
        <w:gridCol w:w="1088"/>
        <w:gridCol w:w="1406"/>
        <w:gridCol w:w="1406"/>
      </w:tblGrid>
      <w:tr>
        <w:trPr>
          <w:trHeight w:val="269" w:hRule="atLeast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UND.</w:t>
            </w:r>
          </w:p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000000"/>
                <w:kern w:val="0"/>
                <w:sz w:val="20"/>
                <w:szCs w:val="20"/>
                <w:lang w:val="pt-BR" w:eastAsia="pt-BR" w:bidi="ar-SA"/>
              </w:rPr>
              <w:t>QUANT.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VALOR ESTIMADO UNITÁRIO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VALOR ESTIMADO TOTAL</w:t>
            </w:r>
          </w:p>
        </w:tc>
      </w:tr>
      <w:tr>
        <w:trPr>
          <w:trHeight w:val="283" w:hRule="atLeast"/>
        </w:trPr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suppressAutoHyphens w:val="true"/>
              <w:bidi w:val="0"/>
              <w:spacing w:lineRule="auto" w:line="276" w:before="0" w:after="0"/>
              <w:ind w:hanging="0" w:left="0" w:right="0"/>
              <w:contextualSpacing w:val="false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/>
                <w:i w:val="false"/>
                <w:iCs w:val="false"/>
                <w:sz w:val="20"/>
                <w:szCs w:val="20"/>
                <w:lang w:val="pt-BR"/>
              </w:rPr>
              <w:t>Óleo lubrificante para motocicleta 4 tempos, 20W-50 – 01 litro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i w:val="false"/>
                <w:iCs w:val="false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color w:val="000000"/>
                <w:sz w:val="20"/>
                <w:szCs w:val="20"/>
              </w:rPr>
              <w:t>R$ 30,15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 w:val="false"/>
                <w:iCs w:val="false"/>
                <w:color w:val="000000"/>
                <w:sz w:val="20"/>
                <w:szCs w:val="20"/>
              </w:rPr>
              <w:t>R$ 361,80</w:t>
            </w:r>
          </w:p>
        </w:tc>
      </w:tr>
      <w:tr>
        <w:trPr>
          <w:trHeight w:val="760" w:hRule="atLeast"/>
        </w:trPr>
        <w:tc>
          <w:tcPr>
            <w:tcW w:w="929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hanging="0"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color w:val="000000"/>
                <w:sz w:val="20"/>
                <w:szCs w:val="20"/>
              </w:rPr>
              <w:t>Valor Estimado Total: R$ 361,80 (trezentos e sessenta e um reais e oitenta centavos)</w:t>
            </w:r>
          </w:p>
        </w:tc>
      </w:tr>
    </w:tbl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1.2</w:t>
      </w:r>
      <w:r>
        <w:rPr>
          <w:rFonts w:ascii="Verdana" w:hAnsi="Verdana"/>
          <w:b/>
          <w:bCs/>
          <w:iCs/>
          <w:sz w:val="20"/>
          <w:szCs w:val="20"/>
        </w:rPr>
        <w:t>.</w:t>
      </w:r>
      <w:r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</w:t>
      </w:r>
      <w:r>
        <w:rPr>
          <w:rFonts w:ascii="Verdana" w:hAnsi="Verdana"/>
          <w:iCs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O prazo de vigência da contratação será de 3</w:t>
      </w:r>
      <w:r>
        <w:rPr>
          <w:rFonts w:eastAsia="Times New Roman" w:cs="Times New Roman" w:ascii="Verdana" w:hAnsi="Verdana"/>
          <w:sz w:val="20"/>
          <w:szCs w:val="20"/>
        </w:rPr>
        <w:t>0</w:t>
      </w:r>
      <w:r>
        <w:rPr>
          <w:rFonts w:eastAsia="Times New Roman" w:cs="Times New Roman" w:ascii="Verdana" w:hAnsi="Verdana"/>
          <w:color w:val="000000"/>
          <w:sz w:val="20"/>
          <w:szCs w:val="20"/>
        </w:rPr>
        <w:t xml:space="preserve"> (trinta) dias</w:t>
      </w:r>
      <w:r>
        <w:rPr>
          <w:rFonts w:eastAsia="Times New Roman" w:cs="Times New Roman" w:ascii="Verdana" w:hAnsi="Verdana"/>
          <w:sz w:val="20"/>
          <w:szCs w:val="20"/>
        </w:rPr>
        <w:t xml:space="preserve">, </w:t>
      </w:r>
      <w:r>
        <w:rPr>
          <w:rFonts w:eastAsia="Times New Roman" w:cs="Times New Roman" w:ascii="Verdana" w:hAnsi="Verdana"/>
          <w:color w:val="000000"/>
          <w:sz w:val="20"/>
          <w:szCs w:val="20"/>
        </w:rPr>
        <w:t>com entrega única em até 10 (dez) dias contados do(a) emissão de autorização de fornecimento/execução.</w:t>
      </w:r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1.4. </w:t>
      </w:r>
      <w:r>
        <w:rPr>
          <w:rFonts w:cs="Arial" w:ascii="Verdana" w:hAnsi="Verdana"/>
          <w:iCs/>
          <w:color w:val="000000"/>
          <w:sz w:val="20"/>
          <w:szCs w:val="20"/>
        </w:rPr>
        <w:t xml:space="preserve">O objeto da aquisição será composto por 01 item, de preço total estimado orçado pela administração no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</w:rPr>
        <w:t>valor</w:t>
      </w:r>
      <w:r>
        <w:rPr>
          <w:rFonts w:eastAsia="Arial" w:cs="Arial" w:ascii="Verdana" w:hAnsi="Verdana"/>
          <w:b w:val="false"/>
          <w:bCs w:val="false"/>
          <w:iCs/>
          <w:color w:val="000000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R$ 361,80 (trezentos e sessenta e um reais e oitenta centavos).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</w:rPr>
        <w:t xml:space="preserve">Para fins de classificação, será considerado o menor preço unitário. </w:t>
      </w:r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2. FUNDAMENTAÇÃO E DESCRIÇÃO DA NECESSIDADE DA CONTRATAÇÃO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2.1. A aquisição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val="pt-BR"/>
        </w:rPr>
        <w:t xml:space="preserve">óleo lubrificante para motocicleta 4 tempos, 20W-50 para os veículos motocicletas da Secretaria de Serviços urbanos e Transporte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val="pt-BR"/>
        </w:rPr>
        <w:t>deve-se pela necessidade de manutenção desses veículos para que esses não venham a ficar danificados e parados até seu conserto, bem como visa aumentar a vida útil dos mesmos, uma vez que esses veículos auxiliam nos serviços de limpeza pública do município, trazendo transtornos e prejuízos caso não possam ser utilizados.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2.2. A quantidade foi estimada com base na demanda solicitada pel</w:t>
      </w:r>
      <w:r>
        <w:rPr>
          <w:rStyle w:val="Fontepargpadro1"/>
          <w:rFonts w:eastAsia="Arial" w:cs="Arial" w:ascii="Verdana" w:hAnsi="Verdana"/>
          <w:b w:val="false"/>
          <w:bCs w:val="false"/>
          <w:sz w:val="20"/>
          <w:szCs w:val="20"/>
        </w:rPr>
        <w:t>o Departamento de Limpeza Pública.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2.3. A demanda se faz justificada para garantir o uso desse veículos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FFFFFF" w:val="clear"/>
          <w:lang w:val="pt-BR" w:eastAsia="zh-CN" w:bidi="ar-SA"/>
        </w:rPr>
        <w:t>forna continuada nas atividades de execução da limpeza pública do município.</w:t>
      </w:r>
    </w:p>
    <w:p>
      <w:pPr>
        <w:pStyle w:val="Nivel1"/>
        <w:spacing w:lineRule="auto" w:line="276" w:before="57" w:after="57"/>
        <w:ind w:hanging="0" w:left="0" w:right="0"/>
        <w:rPr>
          <w:rFonts w:cs="Times New Roman"/>
          <w:bCs/>
        </w:rPr>
      </w:pPr>
      <w:r>
        <w:rPr>
          <w:rFonts w:cs="Times New Roman"/>
          <w:bCs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3. DESCRIÇÃO DA SOLUÇÃO COMO UM TODO CONSIDERADO O CICLO DE VIDA DO OBJETO E ESPECIFICAÇÃO DO PRODUTO 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3.1 A solução a ser adotada consiste na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aquisição de </w:t>
      </w: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óleo lubrificante para motocicleta 4 tempos, 20W-50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destinado aos veículos motocicleta da Secretaria de Serviços urbanos e Transportes que serão utilizados na execução das atividades do Departamento de Limpeza Pública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do município.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3.2. As especificações dos produtos que estão contidas neste Estudo Técnico Preliminar, conforme solicitação de compras em anexo, estão de acordo com os padrões existentes no mercado.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3.3 A aquisição deverá obedecer, no que couber, ao disposto na Lei n.º 14.133/2021 e suas alterações.</w:t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4. REQUISITOS DA CONTRATAÇÃO 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4.1. Neste procedimento será consagrada vencedor o fornecedor que apresentar o menor preço por item.</w:t>
      </w:r>
    </w:p>
    <w:p>
      <w:pPr>
        <w:pStyle w:val="Normal"/>
        <w:tabs>
          <w:tab w:val="clear" w:pos="708"/>
          <w:tab w:val="left" w:pos="206" w:leader="none"/>
          <w:tab w:val="left" w:pos="563" w:leader="none"/>
        </w:tabs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/>
          <w:iCs/>
          <w:sz w:val="20"/>
          <w:szCs w:val="20"/>
        </w:rPr>
        <w:t>4.2.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Não haverá danos ao meio ambiente, uma vez que a aquisição não gerará tal problema para a Administração Pública.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4.3.</w:t>
      </w:r>
      <w:r>
        <w:rPr>
          <w:rFonts w:ascii="Verdana" w:hAnsi="Verdana"/>
          <w:b w:val="false"/>
          <w:bCs w:val="false"/>
          <w:i/>
          <w:iCs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 xml:space="preserve">A aquisição se dará por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>dispensa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 xml:space="preserve"> (sendo sagrado vencedor, o fornecedor que apresentar o menor valor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 xml:space="preserve">por item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>a ser adquirido), com entrega única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 xml:space="preserve">,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em até 10 (dez) dias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 xml:space="preserve"> após a emissão da autorização de fornecimento emitida pelo Departamento de Compras e Contratos e a confirmação de recebimento pela empresa, conforme estabelecido no ETP e DFD em anexo.</w:t>
      </w:r>
    </w:p>
    <w:p>
      <w:pPr>
        <w:pStyle w:val="Normal"/>
        <w:shd w:val="clear" w:fill="FFFFFF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b w:val="false"/>
          <w:bCs w:val="false"/>
          <w:sz w:val="20"/>
          <w:szCs w:val="20"/>
          <w:shd w:fill="FFFFFF" w:val="clear"/>
        </w:rPr>
        <w:t xml:space="preserve">4.4. A empresa fornecedora deverá entregar </w:t>
      </w:r>
      <w:r>
        <w:rPr>
          <w:rFonts w:eastAsia="Calibri" w:cs="Times New Roman" w:ascii="Verdana" w:hAnsi="Verdana"/>
          <w:b w:val="false"/>
          <w:bCs w:val="false"/>
          <w:sz w:val="20"/>
          <w:szCs w:val="20"/>
          <w:shd w:fill="FFFFFF" w:val="clear"/>
        </w:rPr>
        <w:t>o objeto</w:t>
      </w:r>
      <w:r>
        <w:rPr>
          <w:rFonts w:eastAsia="Calibri" w:ascii="Verdana" w:hAnsi="Verdana"/>
          <w:b w:val="false"/>
          <w:bCs w:val="false"/>
          <w:sz w:val="20"/>
          <w:szCs w:val="20"/>
          <w:shd w:fill="FFFFFF" w:val="clear"/>
        </w:rPr>
        <w:t xml:space="preserve"> de qualidade de acordo com a especificação apresentada </w:t>
      </w:r>
      <w:r>
        <w:rPr>
          <w:rFonts w:ascii="Verdana" w:hAnsi="Verdana"/>
          <w:b w:val="false"/>
          <w:bCs w:val="false"/>
          <w:sz w:val="20"/>
          <w:szCs w:val="20"/>
        </w:rPr>
        <w:t>na autorização</w:t>
      </w:r>
      <w:r>
        <w:rPr>
          <w:rFonts w:ascii="Verdana" w:hAnsi="Verdana"/>
          <w:sz w:val="20"/>
          <w:szCs w:val="20"/>
        </w:rPr>
        <w:t xml:space="preserve"> de fornecimento/execução, sem marcas e sem defeitos e </w:t>
      </w:r>
      <w:r>
        <w:rPr>
          <w:rFonts w:eastAsia="Calibri" w:ascii="Verdana" w:hAnsi="Verdana"/>
          <w:sz w:val="20"/>
          <w:szCs w:val="20"/>
          <w:shd w:fill="FFFFFF" w:val="clear"/>
        </w:rPr>
        <w:t xml:space="preserve">em perfeitas condições </w:t>
      </w:r>
      <w:r>
        <w:rPr>
          <w:rFonts w:eastAsia="Calibri" w:cs="Times New Roman" w:ascii="Verdana" w:hAnsi="Verdana"/>
          <w:sz w:val="20"/>
          <w:szCs w:val="20"/>
          <w:shd w:fill="FFFFFF" w:val="clear"/>
        </w:rPr>
        <w:t>de uso de acordo com as normas técnicas e de segurança vigentes, em perfeita condição de uso, sem marcas ou defeitos que possam comprometer sua qualidade.</w:t>
      </w:r>
    </w:p>
    <w:p>
      <w:pPr>
        <w:pStyle w:val="ListParagraph"/>
        <w:shd w:val="clear" w:fill="FFFFFF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b w:val="false"/>
          <w:bCs w:val="false"/>
          <w:sz w:val="20"/>
          <w:szCs w:val="20"/>
          <w:shd w:fill="FFFFFF" w:val="clear"/>
        </w:rPr>
        <w:t>4.5</w:t>
      </w:r>
      <w:r>
        <w:rPr>
          <w:rFonts w:eastAsia="Calibri" w:ascii="Verdana" w:hAnsi="Verdana"/>
          <w:b/>
          <w:bCs/>
          <w:sz w:val="20"/>
          <w:szCs w:val="20"/>
          <w:shd w:fill="FFFFFF" w:val="clear"/>
        </w:rPr>
        <w:t>.</w:t>
      </w:r>
      <w:r>
        <w:rPr>
          <w:rFonts w:ascii="Verdana" w:hAnsi="Verdana"/>
          <w:sz w:val="20"/>
          <w:szCs w:val="20"/>
        </w:rPr>
        <w:t xml:space="preserve"> A empresa </w:t>
      </w:r>
      <w:r>
        <w:rPr>
          <w:rFonts w:eastAsia="Times New Roman" w:cs="Times New Roman" w:ascii="Verdana" w:hAnsi="Verdana"/>
          <w:sz w:val="20"/>
          <w:szCs w:val="20"/>
        </w:rPr>
        <w:t>ganhadora</w:t>
      </w:r>
      <w:r>
        <w:rPr>
          <w:rFonts w:ascii="Verdana" w:hAnsi="Verdana"/>
          <w:sz w:val="20"/>
          <w:szCs w:val="20"/>
        </w:rPr>
        <w:t xml:space="preserve"> deverá entregar </w:t>
      </w:r>
      <w:r>
        <w:rPr>
          <w:rFonts w:eastAsia="Times New Roman" w:cs="Times New Roman" w:ascii="Verdana" w:hAnsi="Verdana"/>
          <w:sz w:val="20"/>
          <w:szCs w:val="20"/>
        </w:rPr>
        <w:t>os itens</w:t>
      </w:r>
      <w:r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</w:t>
      </w:r>
      <w:r>
        <w:rPr>
          <w:rFonts w:ascii="Verdana" w:hAnsi="Verdana"/>
          <w:b w:val="false"/>
          <w:bCs w:val="false"/>
          <w:sz w:val="20"/>
          <w:szCs w:val="20"/>
        </w:rPr>
        <w:t>Contratos.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4.6. </w:t>
      </w:r>
      <w:r>
        <w:rPr>
          <w:rFonts w:ascii="Verdana" w:hAnsi="Verdana"/>
          <w:sz w:val="20"/>
          <w:szCs w:val="20"/>
        </w:rPr>
        <w:t>Não será admitida a subcontratação do objeto contratual.</w:t>
      </w:r>
    </w:p>
    <w:p>
      <w:pPr>
        <w:pStyle w:val="Normal"/>
        <w:tabs>
          <w:tab w:val="clear" w:pos="708"/>
          <w:tab w:val="left" w:pos="13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47. </w:t>
      </w:r>
      <w:r>
        <w:rPr>
          <w:rFonts w:ascii="Verdana" w:hAnsi="Verdana"/>
          <w:sz w:val="20"/>
          <w:szCs w:val="20"/>
        </w:rPr>
        <w:t>Não haverá exigência da garantia da contratação dos arts. 96 e seguintes da Lei nº 14.133/21.</w:t>
      </w:r>
    </w:p>
    <w:p>
      <w:pPr>
        <w:pStyle w:val="Normal"/>
        <w:tabs>
          <w:tab w:val="clear" w:pos="708"/>
          <w:tab w:val="left" w:pos="13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4.8. Não haverá reajustamento de preços dos produtos adquiridos.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4.9. No valor unitário de cada item, deverá estar incluso os valores necessários com insumos, logística e mão de obra.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5. MODELO DE EXECUÇÃO CONTRATUAL </w:t>
      </w:r>
    </w:p>
    <w:p>
      <w:pPr>
        <w:pStyle w:val="ListParagraph"/>
        <w:tabs>
          <w:tab w:val="clear" w:pos="708"/>
          <w:tab w:val="left" w:pos="0" w:leader="none"/>
          <w:tab w:val="left" w:pos="45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sz w:val="20"/>
          <w:szCs w:val="20"/>
        </w:rPr>
        <w:t>5.1.</w:t>
      </w:r>
      <w:r>
        <w:rPr>
          <w:rFonts w:cs="Times New Roman" w:ascii="Verdana" w:hAnsi="Verdana"/>
          <w:bCs/>
          <w:iCs/>
          <w:sz w:val="20"/>
          <w:szCs w:val="20"/>
        </w:rPr>
        <w:t xml:space="preserve"> O prazo </w:t>
      </w:r>
      <w:r>
        <w:rPr>
          <w:rFonts w:eastAsia="Times New Roman" w:cs="Times New Roman" w:ascii="Verdana" w:hAnsi="Verdana"/>
          <w:bCs/>
          <w:iCs/>
          <w:sz w:val="20"/>
          <w:szCs w:val="20"/>
        </w:rPr>
        <w:t>de entrega do objeto</w:t>
      </w:r>
      <w:r>
        <w:rPr>
          <w:rFonts w:cs="Times New Roman" w:ascii="Verdana" w:hAnsi="Verdana"/>
          <w:bCs/>
          <w:iCs/>
          <w:sz w:val="20"/>
          <w:szCs w:val="20"/>
        </w:rPr>
        <w:t xml:space="preserve"> será </w:t>
      </w:r>
      <w:r>
        <w:rPr>
          <w:rFonts w:eastAsia="Times New Roman" w:cs="Times New Roman" w:ascii="Verdana" w:hAnsi="Verdana"/>
          <w:bCs/>
          <w:iCs/>
          <w:sz w:val="20"/>
          <w:szCs w:val="20"/>
        </w:rPr>
        <w:t>de 10 (dez) dias, contados</w:t>
      </w:r>
      <w:r>
        <w:rPr>
          <w:rFonts w:cs="Times New Roman" w:ascii="Verdana" w:hAnsi="Verdana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5.2.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sz w:val="20"/>
          <w:szCs w:val="20"/>
        </w:rPr>
        <w:t>O objeto</w:t>
      </w:r>
      <w:r>
        <w:rPr>
          <w:rFonts w:ascii="Verdana" w:hAnsi="Verdana"/>
          <w:sz w:val="20"/>
          <w:szCs w:val="20"/>
        </w:rPr>
        <w:t xml:space="preserve"> deverá ser entregue no seguinte endereço: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1425" w:leader="none"/>
        </w:tabs>
        <w:suppressAutoHyphens w:val="true"/>
        <w:overflowPunct w:val="true"/>
        <w:bidi w:val="0"/>
        <w:spacing w:lineRule="auto" w:line="276" w:before="57" w:after="57"/>
        <w:ind w:hanging="0" w:left="454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color w:val="auto"/>
          <w:kern w:val="0"/>
          <w:sz w:val="20"/>
          <w:szCs w:val="20"/>
          <w:lang w:val="pt-BR" w:eastAsia="pt-BR" w:bidi="ar-SA"/>
        </w:rPr>
        <w:t>Departamento de Almoxarifado Central</w:t>
      </w:r>
      <w:r>
        <w:rPr>
          <w:rFonts w:ascii="Verdana" w:hAnsi="Verdana"/>
          <w:b/>
          <w:bCs/>
          <w:sz w:val="20"/>
          <w:szCs w:val="20"/>
        </w:rPr>
        <w:t xml:space="preserve"> da Prefeitura Municipal de São Gabriel da Palha</w:t>
      </w:r>
      <w:r>
        <w:rPr>
          <w:rFonts w:ascii="Verdana" w:hAnsi="Verdana"/>
          <w:sz w:val="20"/>
          <w:szCs w:val="20"/>
        </w:rPr>
        <w:t xml:space="preserve"> (lateral do prédio)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Praça Vicente Glazar, 159, Bairro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Glória.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São Gabriel da Palha – ES, Cep .29.780-000.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276" w:before="57" w:after="57"/>
        <w:jc w:val="both"/>
        <w:rPr/>
      </w:pPr>
      <w:r>
        <w:rPr>
          <w:rFonts w:ascii="Verdana" w:hAnsi="Verdana"/>
          <w:sz w:val="20"/>
        </w:rPr>
        <w:t>Telefone</w:t>
      </w:r>
      <w:r>
        <w:rPr>
          <w:rFonts w:ascii="Verdana" w:hAnsi="Verdana"/>
          <w:sz w:val="20"/>
          <w:szCs w:val="20"/>
        </w:rPr>
        <w:t xml:space="preserve"> de contato: (27) 3727-2770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08" w:leader="none"/>
        </w:tabs>
        <w:spacing w:lineRule="auto" w:line="276" w:before="57" w:after="57"/>
        <w:jc w:val="both"/>
        <w:rPr/>
      </w:pPr>
      <w:r>
        <w:rPr>
          <w:rStyle w:val="InternetLink"/>
          <w:rFonts w:eastAsia="Times New Roman" w:cs="Times New Roman" w:ascii="Verdana" w:hAnsi="Verdana"/>
          <w:color w:val="000000"/>
          <w:sz w:val="20"/>
          <w:szCs w:val="20"/>
          <w:u w:val="none"/>
        </w:rPr>
        <w:t xml:space="preserve">E-mail: </w:t>
      </w:r>
      <w:r>
        <w:rPr>
          <w:rStyle w:val="InternetLink"/>
          <w:rFonts w:eastAsia="Times New Roman" w:cs="Times New Roman" w:ascii="Verdana" w:hAnsi="Verdana"/>
          <w:color w:val="000000"/>
          <w:kern w:val="0"/>
          <w:sz w:val="20"/>
          <w:szCs w:val="20"/>
          <w:u w:val="none"/>
          <w:lang w:val="pt-BR" w:eastAsia="pt-BR" w:bidi="ar-SA"/>
        </w:rPr>
        <w:t>serviurbanos@saogabriel.es.gov.br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276" w:before="57" w:after="57"/>
        <w:jc w:val="both"/>
        <w:rPr/>
      </w:pPr>
      <w:r>
        <w:rPr>
          <w:rFonts w:ascii="Verdana" w:hAnsi="Verdana"/>
          <w:sz w:val="20"/>
        </w:rPr>
        <w:t>Responsável</w:t>
      </w:r>
      <w:r>
        <w:rPr>
          <w:rFonts w:cs="Times New Roman" w:ascii="Verdana" w:hAnsi="Verdana"/>
          <w:b w:val="false"/>
          <w:bCs w:val="false"/>
          <w:iCs/>
          <w:sz w:val="20"/>
          <w:szCs w:val="20"/>
        </w:rPr>
        <w:t xml:space="preserve">: </w:t>
      </w:r>
      <w:r>
        <w:rPr>
          <w:rFonts w:eastAsia="Times New Roman" w:cs="Times New Roman" w:ascii="Verdana" w:hAnsi="Verdana"/>
          <w:b w:val="false"/>
          <w:bCs w:val="false"/>
          <w:iCs/>
          <w:sz w:val="20"/>
          <w:szCs w:val="20"/>
          <w:u w:val="none"/>
        </w:rPr>
        <w:t xml:space="preserve">Secretaria Municipal de </w:t>
      </w:r>
      <w:r>
        <w:rPr>
          <w:rFonts w:eastAsia="Times New Roman" w:cs="Times New Roman" w:ascii="Verdana" w:hAnsi="Verdana"/>
          <w:b w:val="false"/>
          <w:bCs w:val="false"/>
          <w:iCs/>
          <w:color w:val="auto"/>
          <w:kern w:val="0"/>
          <w:sz w:val="20"/>
          <w:szCs w:val="20"/>
          <w:u w:val="none"/>
          <w:lang w:val="pt-BR" w:eastAsia="pt-BR" w:bidi="ar-SA"/>
        </w:rPr>
        <w:t>Serviços Urbanos e Transporte</w:t>
      </w:r>
    </w:p>
    <w:p>
      <w:pPr>
        <w:pStyle w:val="Nivel2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color w:val="auto"/>
          <w:sz w:val="20"/>
          <w:szCs w:val="20"/>
        </w:rPr>
        <w:t>5.3</w:t>
      </w:r>
      <w:r>
        <w:rPr>
          <w:rFonts w:cs="Times New Roman" w:ascii="Verdana" w:hAnsi="Verdana"/>
          <w:b/>
          <w:bCs/>
          <w:iCs/>
          <w:color w:val="auto"/>
          <w:sz w:val="20"/>
          <w:szCs w:val="20"/>
        </w:rPr>
        <w:t xml:space="preserve">. </w:t>
      </w:r>
      <w:r>
        <w:rPr>
          <w:rFonts w:cs="Times New Roman" w:ascii="Verdana" w:hAnsi="Verdana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>
        <w:rPr>
          <w:rFonts w:cs="Times New Roman" w:ascii="Verdana" w:hAnsi="Verdana"/>
          <w:iCs/>
          <w:color w:val="auto"/>
          <w:sz w:val="20"/>
          <w:szCs w:val="20"/>
        </w:rPr>
        <w:t>força</w:t>
      </w:r>
      <w:r>
        <w:rPr>
          <w:rFonts w:cs="Times New Roman" w:ascii="Verdana" w:hAnsi="Verdana"/>
          <w:bCs/>
          <w:iCs/>
          <w:color w:val="auto"/>
          <w:sz w:val="20"/>
          <w:szCs w:val="20"/>
        </w:rPr>
        <w:t xml:space="preserve"> maior.</w:t>
      </w:r>
    </w:p>
    <w:p>
      <w:pPr>
        <w:pStyle w:val="Nivel2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5.4.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Os itens serão recebidos pelo(a) responsável do Departamento de Almoxarifado central para acompanhamento e fiscalização e posterior verificação de sua conformidade com as especificações constantes neste Termo de Referência e na proposta.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5.5.</w:t>
      </w:r>
      <w:r>
        <w:rPr>
          <w:rFonts w:ascii="Verdana" w:hAnsi="Verdana"/>
          <w:sz w:val="20"/>
          <w:szCs w:val="20"/>
        </w:rPr>
        <w:t xml:space="preserve"> A conferência </w:t>
      </w:r>
      <w:r>
        <w:rPr>
          <w:rFonts w:eastAsia="Times New Roman" w:cs="Times New Roman" w:ascii="Verdana" w:hAnsi="Verdana"/>
          <w:sz w:val="20"/>
          <w:szCs w:val="20"/>
        </w:rPr>
        <w:t>dos itens</w:t>
      </w:r>
      <w:r>
        <w:rPr>
          <w:rFonts w:ascii="Verdana" w:hAnsi="Verdana"/>
          <w:sz w:val="20"/>
          <w:szCs w:val="20"/>
        </w:rPr>
        <w:t xml:space="preserve"> deverá ser acompanhada por um servidor </w:t>
      </w:r>
      <w:r>
        <w:rPr>
          <w:rFonts w:eastAsia="Times New Roman" w:cs="Times New Roman" w:ascii="Verdana" w:hAnsi="Verdana"/>
          <w:sz w:val="20"/>
          <w:szCs w:val="20"/>
        </w:rPr>
        <w:t>da secretaria requisitante</w:t>
      </w:r>
      <w:r>
        <w:rPr>
          <w:rFonts w:ascii="Verdana" w:hAnsi="Verdana"/>
          <w:sz w:val="20"/>
          <w:szCs w:val="20"/>
        </w:rPr>
        <w:t>, a fim de zelar pela qualidade e quantidade dos itens a serem adquiridos.</w:t>
      </w:r>
    </w:p>
    <w:p>
      <w:pPr>
        <w:pStyle w:val="Nivel2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5.6.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5.7.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>
        <w:rPr>
          <w:rFonts w:eastAsia="Times New Roman" w:cs="Times New Roman" w:ascii="Verdana" w:hAnsi="Verdana"/>
          <w:sz w:val="20"/>
          <w:szCs w:val="20"/>
        </w:rPr>
        <w:t>da contratada pelos prejuízos resultantes da incorreta execução do contrato.</w:t>
      </w:r>
    </w:p>
    <w:p>
      <w:pPr>
        <w:pStyle w:val="Nivel2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>
      <w:pPr>
        <w:pStyle w:val="Nivel2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color w:val="auto"/>
          <w:sz w:val="20"/>
          <w:szCs w:val="20"/>
        </w:rPr>
        <w:t>5.9. Não se verifica contratações correlatas ou interdependentes.</w:t>
      </w:r>
    </w:p>
    <w:p>
      <w:pPr>
        <w:pStyle w:val="Nivel2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6. MODELO DE GESTÃO DO CONTRATO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6.1. Rotinas De Fiscalização Contratual</w:t>
      </w:r>
    </w:p>
    <w:p>
      <w:pPr>
        <w:pStyle w:val="Nivel2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6.1.1. </w:t>
      </w:r>
      <w:r>
        <w:rPr>
          <w:rFonts w:cs="Times New Roman" w:ascii="Verdana" w:hAnsi="Verdana"/>
          <w:sz w:val="20"/>
          <w:szCs w:val="20"/>
        </w:rPr>
        <w:t>O contrato será substituído pela nota de empenho e autorização de fornecimento/execução.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6.1.2.</w:t>
      </w:r>
      <w:r>
        <w:rPr>
          <w:rFonts w:ascii="Verdana" w:hAnsi="Verdana"/>
          <w:sz w:val="20"/>
          <w:szCs w:val="20"/>
        </w:rPr>
        <w:t xml:space="preserve"> A entrega </w:t>
      </w:r>
      <w:r>
        <w:rPr>
          <w:rFonts w:eastAsia="Times New Roman" w:cs="Times New Roman" w:ascii="Verdana" w:hAnsi="Verdana"/>
          <w:sz w:val="20"/>
          <w:szCs w:val="20"/>
        </w:rPr>
        <w:t>do item</w:t>
      </w:r>
      <w:r>
        <w:rPr>
          <w:rFonts w:ascii="Verdana" w:hAnsi="Verdana"/>
          <w:sz w:val="20"/>
          <w:szCs w:val="20"/>
        </w:rPr>
        <w:t xml:space="preserve"> deverá ser acompanhada por um servidor do Departamento de Almoxarifado Central e </w:t>
      </w:r>
      <w:r>
        <w:rPr>
          <w:rFonts w:eastAsia="Times New Roman" w:cs="Times New Roman" w:ascii="Verdana" w:hAnsi="Verdana"/>
          <w:sz w:val="20"/>
          <w:szCs w:val="20"/>
        </w:rPr>
        <w:t>da secretaria requisitante</w:t>
      </w:r>
      <w:r>
        <w:rPr>
          <w:rFonts w:ascii="Verdana" w:hAnsi="Verdana"/>
          <w:sz w:val="20"/>
          <w:szCs w:val="20"/>
        </w:rPr>
        <w:t>, a fim de zelar pela qualidade e quantidade dos itens a serem adquiridos.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6.1.3.</w:t>
      </w:r>
      <w:r>
        <w:rPr>
          <w:rFonts w:ascii="Verdana" w:hAnsi="Verdana"/>
          <w:sz w:val="20"/>
          <w:szCs w:val="20"/>
        </w:rPr>
        <w:t xml:space="preserve">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6.1.4.</w:t>
      </w:r>
      <w:r>
        <w:rPr>
          <w:rFonts w:ascii="Verdana" w:hAnsi="Verdana"/>
          <w:sz w:val="20"/>
          <w:szCs w:val="20"/>
        </w:rPr>
        <w:t xml:space="preserve"> Somente o contratado será responsável pelos encargos trabalhistas, previdenciários, fiscais e comerciais resultantes da execução dos serviços.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6.1.5.</w:t>
      </w:r>
      <w:r>
        <w:rPr>
          <w:rFonts w:ascii="Verdana" w:hAnsi="Verdana"/>
          <w:sz w:val="20"/>
          <w:szCs w:val="20"/>
        </w:rPr>
        <w:t xml:space="preserve"> A inadimplência do contratado em relação aos encargos trabalhistas, fiscais e comerciais não transferirá à Administração a responsabilidade pelo seu pagamento e não poderá onerar o objeto do contrato.</w:t>
      </w:r>
    </w:p>
    <w:p>
      <w:pPr>
        <w:pStyle w:val="Nivel2"/>
        <w:spacing w:lineRule="auto" w:line="276" w:before="57" w:after="57"/>
        <w:ind w:hanging="0" w:lef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sz w:val="20"/>
          <w:szCs w:val="20"/>
        </w:rPr>
        <w:t>6.1.6.</w:t>
      </w:r>
      <w:r>
        <w:rPr>
          <w:rFonts w:cs="Times New Roman" w:ascii="Verdana" w:hAnsi="Verdana"/>
          <w:sz w:val="20"/>
          <w:szCs w:val="20"/>
        </w:rPr>
        <w:t xml:space="preserve"> Será exigido a inscrição no Cadastro Nacional de Pessoa Jurídica (CNPJ), a Certidão Negativa de Débito (CND) relativa, a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>
      <w:pPr>
        <w:pStyle w:val="Nivel2"/>
        <w:spacing w:lineRule="auto" w:line="276" w:before="57" w:after="57"/>
        <w:ind w:hanging="0" w:lef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iCs/>
          <w:sz w:val="20"/>
          <w:szCs w:val="20"/>
          <w:u w:val="none"/>
        </w:rPr>
        <w:tab/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iCs/>
          <w:color w:val="auto"/>
          <w:sz w:val="20"/>
          <w:szCs w:val="20"/>
        </w:rPr>
        <w:t xml:space="preserve">7. FORMA E CRITÉRIOS DE SELEÇÃO DO FORNECEDOR MEDIANTE O USO DO SISTEMA DE DISPENSA ELETRÔNICA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7.1.</w:t>
      </w:r>
      <w:r>
        <w:rPr>
          <w:rFonts w:ascii="Verdana" w:hAnsi="Verdana"/>
          <w:sz w:val="20"/>
          <w:szCs w:val="20"/>
        </w:rPr>
        <w:t xml:space="preserve"> O fornecedor será selecionado por meio da realização de procedimento de dispensa eletrônica de licitação, com fundamento na hipótese do art. 75, inciso II, da Lei n.º 14.133/2021 </w:t>
      </w:r>
      <w:r>
        <w:rPr>
          <w:rFonts w:ascii="Verdana" w:hAnsi="Verdana"/>
          <w:iCs/>
          <w:sz w:val="20"/>
          <w:szCs w:val="20"/>
        </w:rPr>
        <w:t>que culminará com a seleção da proposta de menor preço por item.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sz w:val="20"/>
          <w:szCs w:val="20"/>
        </w:rPr>
        <w:t>8. DAS SANÇÕES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8.1.1. Dar causa à inexecução parcial do contrato.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8.1.3. Dar causa à inexecução total;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8.1.4. Deixar de entregar a documentação exigida para o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8.1.5. Não manter a proposta, salvo em decorrência de fato superveniente devidamente justificado.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8.1.6.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8.1.7. Ensejar o retardamento da execução ou da entrega do objeto sem motivo justificado,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8.1.9. Fraudar a dispensa eletrônica ou praticar ato fraudulento na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8.1.10. Comportar-se de modo inidôneo ou cometer fraude de qualquer natureza.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8.1.11. Praticar atos ilícitos com vistas a frustrar os objetivos deste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8.1.12. Praticar ato lesivo previsto no art. 5º da Lei nº 12.846, de 1º de agosto de 2013.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8.2.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a) Advertência pela falta do subitem 8.1.1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>b.1) O valor da multa poderá ser descontado das faturas devidas à CONTRATADA;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 xml:space="preserve">b.2) A multa pode ser aplicada isoladamente ou junto as penalidades definidas nos itens “c” e “d” abaixo: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 </w:t>
      </w:r>
      <w:r>
        <w:rPr>
          <w:rFonts w:ascii="Verdana" w:hAnsi="Verdana"/>
          <w:iCs/>
          <w:sz w:val="20"/>
          <w:szCs w:val="20"/>
        </w:rPr>
        <w:tab/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8.3. Na aplicação das sanções serão considerados: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8.3.1. A natureza e a gravidade da infração cometida.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8.3.2. As peculiaridades do caso concreto.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8.3.3. As circunstâncias agravantes ou atenuantes.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8.3.4. Os danos que dela provierem para a Administração Pública.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8.3.5. A implantação ou o aperfeiçoamento de programa de integridade, conforme normas e orientações dos órgãos de controle.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iCs/>
        </w:rPr>
      </w:pPr>
      <w:r>
        <w:rPr>
          <w:iCs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9. CRITÉRIOS DE PAGAMENTO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9.1.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46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46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46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46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O prazo de validade;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A data da emissão; 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Os dados do contrato e do órgão contratante; 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 período respectivo de execução do contrato; 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 valor a pagar; e 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9.5.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InternetLink"/>
          <w:rFonts w:ascii="Verdana" w:hAnsi="Verdana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9.6. O pagamento será efetuado no prazo de até 30 (trinta) dias úteis contados da finalização da liquidação da despesa.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9.7. O pagamento será realizado por meio de ordem bancária, para crédito em banco, agência e conta corrente indicados pelo contratado.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9.8. Será considerada data do pagamento o dia em que constar como emitida a ordem bancária para pagamento.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9.9. Quando do pagamento, será efetuada a retenção tributária prevista na legislação aplicável.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9.10. O contratado regularmente optante pelo Simples Nacional, nos termos da </w:t>
      </w:r>
      <w:hyperlink r:id="rId2">
        <w:r>
          <w:rPr>
            <w:rStyle w:val="ListLabel47"/>
            <w:rFonts w:ascii="Verdana" w:hAnsi="Verdana"/>
            <w:b w:val="false"/>
            <w:b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9.11.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Calibri" w:cs="Calibri" w:ascii="Verdana" w:hAnsi="Verdana"/>
          <w:b w:val="false"/>
          <w:bCs w:val="false"/>
          <w:color w:val="000000"/>
          <w:sz w:val="20"/>
          <w:szCs w:val="20"/>
        </w:rPr>
        <w:t xml:space="preserve">9.11. </w:t>
      </w:r>
      <w:r>
        <w:rPr>
          <w:rFonts w:ascii="Verdana" w:hAnsi="Verdana"/>
          <w:b w:val="false"/>
          <w:bCs w:val="false"/>
          <w:sz w:val="20"/>
          <w:szCs w:val="20"/>
        </w:rPr>
        <w:t>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0" w:after="0"/>
        <w:ind w:hanging="0" w:left="0" w:right="0"/>
        <w:contextualSpacing w:val="false"/>
        <w:jc w:val="center"/>
        <w:rPr>
          <w:rFonts w:ascii="Verdana" w:hAnsi="Verdana" w:cs="Arial"/>
          <w:b/>
          <w:sz w:val="12"/>
          <w:szCs w:val="12"/>
          <w:u w:val="single"/>
        </w:rPr>
      </w:pPr>
      <w:r>
        <w:rPr>
          <w:rFonts w:cs="Arial" w:ascii="Verdana" w:hAnsi="Verdana"/>
          <w:b/>
          <w:sz w:val="12"/>
          <w:szCs w:val="12"/>
          <w:u w:val="single"/>
        </w:rPr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 xml:space="preserve">VM = VF </w:t>
      </w:r>
      <w:r>
        <w:rPr>
          <w:rFonts w:cs="Verdana" w:ascii="Verdana" w:hAnsi="Verdana"/>
          <w:b w:val="false"/>
          <w:bCs w:val="false"/>
          <w:sz w:val="20"/>
          <w:szCs w:val="20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cs="Verdana" w:ascii="Verdana" w:hAnsi="Verdana"/>
          <w:b w:val="false"/>
          <w:bCs w:val="false"/>
          <w:sz w:val="20"/>
          <w:szCs w:val="20"/>
          <w:u w:val="single"/>
        </w:rPr>
        <w:t>0,33</w:t>
      </w:r>
      <w:r>
        <w:rPr>
          <w:rFonts w:cs="Verdana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cs="Verdana" w:ascii="Verdana" w:hAnsi="Verdana"/>
          <w:b w:val="false"/>
          <w:bCs w:val="false"/>
          <w:sz w:val="20"/>
          <w:szCs w:val="20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b w:val="false"/>
          <w:bCs w:val="false"/>
          <w:sz w:val="20"/>
          <w:szCs w:val="20"/>
        </w:rPr>
        <w:tab/>
      </w:r>
      <w:r>
        <w:rPr>
          <w:rFonts w:cs="Verdana" w:ascii="Verdana" w:hAnsi="Verdana"/>
          <w:b w:val="false"/>
          <w:bCs w:val="false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76" w:before="57" w:after="57"/>
        <w:ind w:hanging="0" w:lef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76" w:before="57" w:after="57"/>
        <w:ind w:hanging="0" w:lef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76" w:before="57" w:after="57"/>
        <w:ind w:hanging="0" w:lef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ND = Número de dias em atraso.9.12..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9.13.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9.14.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9.15. </w:t>
      </w:r>
      <w:r>
        <w:rPr>
          <w:rFonts w:cs="Arial" w:ascii="Verdana" w:hAnsi="Verdana"/>
          <w:b w:val="false"/>
          <w:bCs w:val="false"/>
          <w:sz w:val="20"/>
          <w:szCs w:val="20"/>
          <w:u w:val="none"/>
          <w:lang w:eastAsia="en-US"/>
        </w:rPr>
        <w:t xml:space="preserve">Para a efetivação do pagamento, a CONTRATADA deverá manter as </w:t>
      </w:r>
      <w:r>
        <w:rPr>
          <w:rFonts w:cs="Arial" w:ascii="Verdana" w:hAnsi="Verdana"/>
          <w:b w:val="false"/>
          <w:bCs w:val="false"/>
          <w:sz w:val="20"/>
          <w:szCs w:val="20"/>
          <w:u w:val="none"/>
          <w:lang w:eastAsia="pt-BR"/>
        </w:rPr>
        <w:t>condições relativas à proposta de preço e a habilitação;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  <w:u w:val="single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10. DA HABILITAÇÃO</w:t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ListLabel48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ListLabel48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57" w:after="57"/>
        <w:ind w:hanging="0" w:lef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ListLabel49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76" w:before="57" w:after="57"/>
        <w:ind w:hanging="0" w:lef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ListLabel48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102.1.2.3. O licitante será convocado para manifestação previamente à sua desclassificação.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10.1.3 .Constatada a existência de sanção, o Pregoeiro reputará o licitante inabilitado, por falta de condição de participação.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10.2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10.2.3 O descu</w:t>
      </w:r>
      <w:r>
        <w:rPr>
          <w:rFonts w:cs="Verdana" w:ascii="Verdana" w:hAnsi="Verdana"/>
          <w:color w:val="000000"/>
          <w:sz w:val="20"/>
          <w:szCs w:val="20"/>
        </w:rPr>
        <w:t>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10.5 Não serão aceitos documentos de habilitação com indicação de CNPJ/CPF diferentes, salvo aqueles legalmente permitidos.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10.7</w:t>
      </w:r>
      <w:r>
        <w:rPr>
          <w:rFonts w:cs="Verdana" w:ascii="Verdana" w:hAnsi="Verdana"/>
          <w:color w:val="000000"/>
          <w:sz w:val="20"/>
          <w:szCs w:val="20"/>
        </w:rPr>
        <w:t xml:space="preserve"> Ressalvado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10.8 Habilitação jurídica: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ListLabel50"/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10.8.6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cs="Verdana" w:ascii="Verdana" w:hAnsi="Verdana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10.8.7 No caso de empresa ou sociedade estrangeira em funcionamento no País: decreto de autorização;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10.8.8 Os documentos acima deverão estar acompanhados de todas as alterações ou da c</w:t>
      </w:r>
      <w:r>
        <w:rPr>
          <w:rFonts w:cs="Verdana" w:ascii="Verdana" w:hAnsi="Verdana"/>
          <w:bCs/>
          <w:color w:val="000000"/>
          <w:sz w:val="20"/>
          <w:szCs w:val="20"/>
        </w:rPr>
        <w:t>onsolidação respectiva;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10.9.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  <w:r>
        <w:rPr>
          <w:rFonts w:cs="Verdana" w:ascii="Verdana" w:hAnsi="Verdana"/>
          <w:b/>
          <w:bCs/>
          <w:color w:val="0000FF"/>
          <w:sz w:val="20"/>
          <w:szCs w:val="20"/>
        </w:rPr>
        <w:t>: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10.9.1 Prova de inscrição no Cadastro Nacional de Pessoas Jurídicas ou no Cadastro de Pessoas Físicas, conforme o caso;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10.9.2 Certidão de regularidade junto à fazenda pública Municipal, do domicílio do Licitante;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10.9.3 Certidão de regularidade junto à fazenda pública Estadual, do domicílio do Licitante;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10.9.5 Certidão de regularidade junto ao FGTS;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10.9.6 Certidão Negativa De Débitos Trabalhistas (CNDT) de acordo com a Lei 12440 de 7 de julho de 2011.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10.9.7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 compr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ovação de regularidade fiscal, mesmo que esta apresente alguma restrição,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10.10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10.10.1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10.10.2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u w:val="none"/>
        </w:rPr>
        <w:t>10.10.3 Para a contagem do prazo estabelecido na letra “a” deste capítulo, será contado a partir do primeiro dia que antecede a data da realização desta dispensa de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u w:val="none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 w:cs="Verdana"/>
          <w:iCs/>
          <w:color w:val="000000"/>
          <w:sz w:val="20"/>
          <w:szCs w:val="20"/>
          <w:lang w:eastAsia="en-US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iCs/>
          <w:color w:val="000000"/>
          <w:sz w:val="20"/>
          <w:szCs w:val="20"/>
          <w:lang w:eastAsia="en-US"/>
        </w:rPr>
        <w:t>11. DAS OBRIGAÇÕES DA CONTRATADA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11.1. Entregar o objeto de forma pessoal ou por pessoa (física ou jurídica) na qualidade de seu representante direto, não podendo transferir a terceiros, nem mesmo à Empresa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Brasileira de Correios e Telégrafos, a sua execução.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 xml:space="preserve">11.1.1. Valendo-se a CONTRATADA de terceiros para efetuar a entrega do objeto, o CONTRATANTE, por meio </w:t>
      </w:r>
      <w:r>
        <w:rPr>
          <w:rFonts w:eastAsia="Times New Roman" w:cs="Verdana" w:ascii="Verdana" w:hAnsi="Verdana"/>
          <w:iCs/>
          <w:color w:val="000000"/>
          <w:kern w:val="0"/>
          <w:sz w:val="20"/>
          <w:szCs w:val="20"/>
          <w:lang w:val="pt-BR" w:eastAsia="en-US" w:bidi="ar-SA"/>
        </w:rPr>
        <w:t>de representante</w:t>
      </w: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, poderá recusar o recebimento, sem exclusão das sanções cabíveis.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11.2. Respeitar os prazos, condições e especificações estabelecidas neste Termo de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Referência.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11.3. Entregar o objeto acondicionados em embalagens originais, devidamente identificadas e lacradas.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11.4. Responsabilizar-se por eventuais danos causados do objeto nos procedimentos de transporte, guarda e entrega.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11.5. Comunicar, no prazo mínimo de 48 (quarenta e oito) horas de antecedência, a ocorrência de casos fortuitos que impeçam ou atrasem a execução do estabelecido neste Termo de Referência, no tocante à entrega dos equipamentos.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11.6. Responsabilizar-se pelos custos referentes ao transporte e guarda dos equipamentos antes de sua entrega no local indicado.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11.7. Prestar esclarecimentos técnicos à secretaria requisitante no que se refere ao objeto da aquisição, sempre que solicitada.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11.8. Responsabilizar-se integralmente pelos encargos trabalhistas, previdenciários, fiscais, comerciais e de responsabilidade civil, bem como outros encargos, taxas e impostos decorrentes da execução do contrato.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 xml:space="preserve">11.9. Apresentar à </w:t>
      </w:r>
      <w:r>
        <w:rPr>
          <w:rFonts w:eastAsia="Times New Roman" w:cs="Verdana" w:ascii="Verdana" w:hAnsi="Verdana"/>
          <w:iCs/>
          <w:color w:val="000000"/>
          <w:kern w:val="0"/>
          <w:sz w:val="20"/>
          <w:szCs w:val="20"/>
          <w:lang w:val="pt-BR" w:eastAsia="en-US" w:bidi="ar-SA"/>
        </w:rPr>
        <w:t>requisitante</w:t>
      </w: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, inclusive para fins de liberação do pagamento, notas fiscais de todos os equipamentos.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11.10.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11.11. Que sejam observados os requisitos ambientais para a obtenção de certificação do Instituto Nacional de Metrologia, Normalização e Qualidade Industrial – INMETRO, como produtos sustentáveis ou de menor impacto ambiental em relação aos seus similares.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11.12. Que os bens devam ser, preferencialmente, acondicionados em embalagem individual adequada, com o menor volume possível, que utilize materiais recicláveis, de forma a garantir a máxima proteção durante o transporte e o armazenamento.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iCs/>
          <w:color w:val="000000"/>
          <w:sz w:val="20"/>
          <w:szCs w:val="20"/>
          <w:lang w:eastAsia="en-US"/>
        </w:rPr>
        <w:t>12. DAS OBRIGAÇÕES DO CONTRATANTE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12.1. Cumprir todos os compromissos financeiros assumidos com a CONTRATADA.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12.2. Comunicar à CONTRATADA toda e qualquer situação que fuja ao fiel cumprimento deste Termo de Referência pela mesma, dando, sempre que possível, orientações para sanar quaisquer vícios.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12.3. Emitir notificação, no prazo de 5 (cinco) dias úteis, contados a partir da ciência do fato, sobre ocorrência de irregularidades na execução do contrato, convocando a CONTRATADA para sanar tais irregularidades.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12.4. Receber e avaliar o objeto, pronunciando-se acerca do atendimento ou não das especificações estabelecidas neste Termo de Referência.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12.5. Atuar de forma ampla e completa no acompanhamento da execução do objeto.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12.6. Prestar, por meio da Assessoria de Comunicação, esclarecimentos e informações necessárias à CONTRATADA no sentido de contribuir com a mesma para a plena execução do objeto.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12.7. Atestar nota fiscal/fatura mensal em concordância com o fornecimento dos equipamentos e as condições estabelecidas no contrato, a fim de que seja efetuado o devido pagamento pelo setor.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12.8. Fiscalizar o cumprimento das obrigações assumidas pela CONTRATADA.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12.9. Efetuar, por escrito, solicitação de reparo/troca à CONTRATADA quando ocorrer defeito, dentro do prazo da garantia estipulada.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12.10.  O CONTRATANTE não responderá por quaisquer compromissos assumidos pela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iCs/>
          <w:color w:val="000000"/>
          <w:sz w:val="20"/>
          <w:szCs w:val="20"/>
          <w:lang w:eastAsia="en-US"/>
        </w:rPr>
        <w:t>CONTRATADA com terceiros, ainda que vinculados à execução do presente objeto, bem como por qualquer dano causado a terceiros em decorrência de ato da CONTRATADA, de seus empregados, prepostos ou subordinados.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13.1. Não se verifica aquisições correlatas ou interdependentes para a viabilidade e contratação desta demanda.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76" w:before="57" w:after="57"/>
        <w:ind w:hanging="0" w:left="0" w:right="0"/>
        <w:jc w:val="both"/>
        <w:rPr>
          <w:rFonts w:cs="Arial"/>
          <w:b w:val="false"/>
          <w:bCs w:val="false"/>
          <w:color w:val="000000"/>
        </w:rPr>
      </w:pPr>
      <w:r>
        <w:rPr>
          <w:rFonts w:cs="Arial"/>
          <w:b w:val="false"/>
          <w:bCs w:val="false"/>
          <w:color w:val="000000"/>
        </w:rPr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14. RESULTADOS PRETENDIDOS COM A CONTRATAÇÃO/AQUISIÇÃO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14.1 Com a futura aquisição o resultado esperado é ter a disposição o produto (óleo lubrificante) para ser utilizado nos veículos motocicleta que auxiliam nos serviços do Departamento de Limpeza Pública do município. O quantitativo será suficiente para atender a demanda desta Secretaria.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5. PROVIDÊNCIAS A SEREM ADOTADAS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15.1.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A Administração Pública contará com o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Departamento de Almoxarifado Central responsável por acompanhar a entrega dos produtos,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recebimento e conferência das especificações contidas no processo de aquisição.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b w:val="false"/>
          <w:bCs w:val="false"/>
          <w:color w:val="C9211E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C9211E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16.1. Não se verifica impactos ambientais da contratação.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17. DECLARAÇÕES DE VIABILIDADE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17.1. 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18. JUSTIFICATIVAS DA VIABILIDADE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iCs/>
          <w:color w:val="000000"/>
          <w:sz w:val="20"/>
          <w:szCs w:val="20"/>
          <w:lang w:eastAsia="en-US"/>
        </w:rPr>
        <w:t xml:space="preserve">18.1. Considerando a necessidade de aquisição de </w:t>
      </w:r>
      <w:r>
        <w:rPr>
          <w:rFonts w:eastAsia="Times New Roman" w:cs="Times New Roman" w:ascii="Verdana" w:hAnsi="Verdana"/>
          <w:b w:val="false"/>
          <w:bCs/>
          <w:i w:val="false"/>
          <w:iCs w:val="false"/>
          <w:color w:val="000000"/>
          <w:sz w:val="20"/>
          <w:szCs w:val="20"/>
          <w:lang w:val="pt-BR" w:eastAsia="en-US"/>
        </w:rPr>
        <w:t>óleo lubrificante para motocicleta 4 tempos, 20W-50</w:t>
      </w:r>
      <w:r>
        <w:rPr>
          <w:rFonts w:cs="Arial" w:ascii="Verdana" w:hAnsi="Verdana"/>
          <w:iCs/>
          <w:color w:val="000000"/>
          <w:sz w:val="20"/>
          <w:szCs w:val="20"/>
          <w:lang w:eastAsia="en-US"/>
        </w:rPr>
        <w:t xml:space="preserve"> para a manutenção dos veículos motocicleta do Departamento de Limpeza Pública da Secretaria de Serviços Urbanos e Transportes , decidiu-se pela aquisição do produto.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ivel1"/>
        <w:widowControl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19. ADEQUAÇÃO ORÇAMENTÁRIA </w:t>
      </w:r>
    </w:p>
    <w:p>
      <w:pPr>
        <w:pStyle w:val="ListParagraph"/>
        <w:widowControl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19.1. </w:t>
      </w:r>
      <w:r>
        <w:rPr>
          <w:rFonts w:ascii="Verdana" w:hAnsi="Verdana"/>
          <w:sz w:val="20"/>
          <w:szCs w:val="20"/>
        </w:rPr>
        <w:t xml:space="preserve">As despesas decorrentes da presente contratação correrão à conta de recursos específicos consignados no Lei Orçamentária Anual, bem como requisição do sistema presente nos autos, sendo a contratação será atendida pela seguinte dotação: </w:t>
      </w:r>
    </w:p>
    <w:p>
      <w:pPr>
        <w:pStyle w:val="ListParagraph"/>
        <w:widowControl/>
        <w:numPr>
          <w:ilvl w:val="0"/>
          <w:numId w:val="2"/>
        </w:numPr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FICHA – FONTE: 0</w:t>
      </w:r>
      <w:r>
        <w:rPr>
          <w:rFonts w:eastAsia="Times New Roman" w:cs="Times New Roman" w:ascii="Verdana" w:hAnsi="Verdana"/>
          <w:sz w:val="20"/>
          <w:szCs w:val="20"/>
        </w:rPr>
        <w:t xml:space="preserve">0233 – 150000000000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u w:val="none"/>
        </w:rPr>
        <w:t>No valor de R$ 361,80 (trezentos e sessenta e um reais e oitenta centavos).</w:t>
      </w:r>
    </w:p>
    <w:p>
      <w:pPr>
        <w:pStyle w:val="ListParagraph"/>
        <w:widowControl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20. DOS RESPONSÁVEIS PELA ELABORAÇÃO DO TERMO DE REFERÊNCIA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20.1.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17</w:t>
      </w:r>
      <w:r>
        <w:rPr>
          <w:rFonts w:ascii="Verdana" w:hAnsi="Verdana"/>
          <w:color w:val="000000"/>
          <w:sz w:val="20"/>
          <w:szCs w:val="20"/>
        </w:rPr>
        <w:t xml:space="preserve"> de setembro de 2024</w:t>
      </w:r>
    </w:p>
    <w:p>
      <w:pPr>
        <w:pStyle w:val="Normal"/>
        <w:spacing w:lineRule="auto" w:line="276" w:before="57" w:after="57"/>
        <w:ind w:hanging="0" w:lef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sectPr>
          <w:headerReference w:type="even" r:id="rId8"/>
          <w:headerReference w:type="default" r:id="rId9"/>
          <w:headerReference w:type="first" r:id="rId10"/>
          <w:footerReference w:type="even" r:id="rId11"/>
          <w:footerReference w:type="default" r:id="rId12"/>
          <w:footerReference w:type="first" r:id="rId13"/>
          <w:type w:val="nextPage"/>
          <w:pgSz w:w="11906" w:h="16838"/>
          <w:pgMar w:left="1550" w:right="905" w:gutter="0" w:header="227" w:top="851" w:footer="365" w:bottom="863"/>
          <w:pgNumType w:fmt="decimal"/>
          <w:formProt w:val="false"/>
          <w:textDirection w:val="lrTb"/>
          <w:docGrid w:type="default" w:linePitch="326" w:charSpace="0"/>
        </w:sectPr>
      </w:pP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RODOLFO ANTÔNIO DA SILVA NETO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Auxiliar Administrativo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Mat. nº 000406</w:t>
      </w:r>
    </w:p>
    <w:p>
      <w:pPr>
        <w:pStyle w:val="Normal"/>
        <w:spacing w:lineRule="auto" w:line="276" w:before="57" w:after="57"/>
        <w:ind w:hanging="0" w:left="0"/>
        <w:jc w:val="both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</w:rPr>
        <w:t>RUTH BARBARA DA SILWA NASCIMENTO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b w:val="false"/>
          <w:bCs w:val="false"/>
          <w:sz w:val="20"/>
        </w:rPr>
      </w:pPr>
      <w:r>
        <w:rPr>
          <w:rFonts w:ascii="Verdana" w:hAnsi="Verdana"/>
          <w:b w:val="false"/>
          <w:bCs w:val="false"/>
          <w:sz w:val="20"/>
        </w:rPr>
        <w:t>Assistente Administrativo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b w:val="false"/>
          <w:bCs w:val="false"/>
          <w:sz w:val="20"/>
        </w:rPr>
      </w:pPr>
      <w:r>
        <w:rPr>
          <w:rFonts w:ascii="Verdana" w:hAnsi="Verdana"/>
          <w:b w:val="false"/>
          <w:bCs w:val="false"/>
          <w:sz w:val="20"/>
        </w:rPr>
        <w:t>Mat. nº 002983</w:t>
      </w:r>
    </w:p>
    <w:p>
      <w:pPr>
        <w:sectPr>
          <w:type w:val="continuous"/>
          <w:pgSz w:w="11906" w:h="16838"/>
          <w:pgMar w:left="1550" w:right="905" w:gutter="0" w:header="227" w:top="851" w:footer="365" w:bottom="863"/>
          <w:cols w:num="2" w:space="282" w:equalWidth="true" w:sep="false"/>
          <w:formProt w:val="false"/>
          <w:textDirection w:val="lrTb"/>
          <w:docGrid w:type="default" w:linePitch="326" w:charSpace="0"/>
        </w:sectPr>
      </w:pPr>
    </w:p>
    <w:p>
      <w:pPr>
        <w:pStyle w:val="Normal"/>
        <w:spacing w:lineRule="auto" w:line="276" w:before="57" w:after="57"/>
        <w:ind w:hanging="0" w:left="170" w:right="0"/>
        <w:jc w:val="both"/>
        <w:rPr>
          <w:rFonts w:ascii="Verdana" w:hAnsi="Verdana"/>
          <w:b w:val="false"/>
          <w:bCs w:val="false"/>
          <w:sz w:val="20"/>
        </w:rPr>
      </w:pPr>
      <w:r>
        <w:rPr>
          <w:rFonts w:ascii="Verdana" w:hAnsi="Verdana"/>
          <w:b w:val="false"/>
          <w:bCs w:val="false"/>
          <w:sz w:val="20"/>
        </w:rPr>
      </w:r>
    </w:p>
    <w:sectPr>
      <w:type w:val="continuous"/>
      <w:pgSz w:w="11906" w:h="16838"/>
      <w:pgMar w:left="1550" w:right="905" w:gutter="0" w:header="227" w:top="851" w:footer="365" w:bottom="863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ind w:hanging="0" w:left="-79" w:right="0"/>
      <w:jc w:val="both"/>
      <w:rPr/>
    </w:pPr>
    <w:r>
      <w:rPr/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ind w:hanging="0" w:left="-79" w:right="0"/>
      <w:jc w:val="both"/>
      <w:rPr/>
    </w:pPr>
    <w:r>
      <w:rPr/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50"/>
        </w:tabs>
        <w:ind w:left="115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10"/>
        </w:tabs>
        <w:ind w:left="151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70"/>
        </w:tabs>
        <w:ind w:left="187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30"/>
        </w:tabs>
        <w:ind w:left="223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90"/>
        </w:tabs>
        <w:ind w:left="259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10"/>
        </w:tabs>
        <w:ind w:left="331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70"/>
        </w:tabs>
        <w:ind w:left="367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InternetLink">
    <w:name w:val="Internet Link"/>
    <w:qFormat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Fontepargpadro1">
    <w:name w:val="Fonte parág. padrão1"/>
    <w:qFormat/>
    <w:rPr/>
  </w:style>
  <w:style w:type="character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/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numbering" w:styleId="Semlista">
    <w:name w:val="Sem lista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Application>LibreOffice/24.2.6.2$Windows_X86_64 LibreOffice_project/ef66aa7e36a1bb8e65bfbc63aba53045a14d0871</Application>
  <AppVersion>15.0000</AppVersion>
  <Pages>11</Pages>
  <Words>4547</Words>
  <Characters>26263</Characters>
  <CharactersWithSpaces>30627</CharactersWithSpaces>
  <Paragraphs>228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2024-08-21T14:02:50Z</cp:lastPrinted>
  <dcterms:modified xsi:type="dcterms:W3CDTF">2024-12-16T14:58:49Z</dcterms:modified>
  <cp:revision>131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